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184" w:lineRule="auto"/>
        <w:ind w:firstLine="4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3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before="169" w:line="180" w:lineRule="auto"/>
        <w:ind w:firstLine="2882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spacing w:val="-3"/>
          <w:sz w:val="52"/>
          <w:szCs w:val="52"/>
        </w:rPr>
        <w:t>全国工商联</w:t>
      </w:r>
    </w:p>
    <w:p>
      <w:pPr>
        <w:spacing w:before="418" w:line="180" w:lineRule="auto"/>
        <w:ind w:firstLine="212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2"/>
          <w:sz w:val="52"/>
          <w:szCs w:val="52"/>
        </w:rPr>
        <w:t>2022</w:t>
      </w:r>
      <w:r>
        <w:rPr>
          <w:rFonts w:ascii="宋体" w:hAnsi="宋体" w:eastAsia="宋体" w:cs="宋体"/>
          <w:spacing w:val="-2"/>
          <w:sz w:val="52"/>
          <w:szCs w:val="52"/>
        </w:rPr>
        <w:t>年民营企业技能人才培育突出</w:t>
      </w:r>
    </w:p>
    <w:p>
      <w:pPr>
        <w:spacing w:before="429" w:line="180" w:lineRule="auto"/>
        <w:ind w:firstLine="236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贡献单位申报书</w:t>
      </w:r>
    </w:p>
    <w:bookmarkEnd w:id="0"/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624" w:lineRule="exact"/>
        <w:ind w:firstLine="9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单位名称</w:t>
      </w:r>
      <w:r>
        <w:rPr>
          <w:rFonts w:ascii="仿宋" w:hAnsi="仿宋" w:eastAsia="仿宋" w:cs="仿宋"/>
          <w:position w:val="22"/>
          <w:sz w:val="32"/>
          <w:szCs w:val="32"/>
          <w:u w:val="single" w:color="auto"/>
        </w:rPr>
        <w:t xml:space="preserve">                                 </w:t>
      </w:r>
    </w:p>
    <w:p>
      <w:pPr>
        <w:spacing w:before="1" w:line="204" w:lineRule="auto"/>
        <w:ind w:firstLine="9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单位地址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spacing w:before="269" w:line="184" w:lineRule="auto"/>
        <w:ind w:firstLine="9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联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</w:t>
      </w:r>
    </w:p>
    <w:p>
      <w:pPr>
        <w:spacing w:before="305" w:line="184" w:lineRule="auto"/>
        <w:ind w:firstLine="9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联系电话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spacing w:before="305" w:line="184" w:lineRule="auto"/>
        <w:ind w:firstLine="98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32"/>
          <w:szCs w:val="32"/>
        </w:rPr>
        <w:t>推荐单位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6"/>
          <w:sz w:val="21"/>
          <w:szCs w:val="21"/>
        </w:rPr>
        <w:t>（省级工商联、全国工商联直属商会公章）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before="98" w:line="501" w:lineRule="exact"/>
        <w:ind w:firstLine="24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14"/>
          <w:sz w:val="30"/>
          <w:szCs w:val="30"/>
        </w:rPr>
        <w:t>中华全国工商业联合会编制</w:t>
      </w:r>
    </w:p>
    <w:p>
      <w:pPr>
        <w:spacing w:line="204" w:lineRule="auto"/>
        <w:ind w:firstLine="354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2022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年印</w:t>
      </w:r>
    </w:p>
    <w:p>
      <w:pPr>
        <w:sectPr>
          <w:footerReference r:id="rId5" w:type="default"/>
          <w:pgSz w:w="11905" w:h="16840"/>
          <w:pgMar w:top="1431" w:right="864" w:bottom="1102" w:left="1785" w:header="0" w:footer="904" w:gutter="0"/>
          <w:cols w:space="720" w:num="1"/>
        </w:sectPr>
      </w:pPr>
    </w:p>
    <w:p>
      <w:pPr>
        <w:spacing w:before="119" w:line="180" w:lineRule="auto"/>
        <w:ind w:firstLine="4093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填</w:t>
      </w:r>
      <w:r>
        <w:rPr>
          <w:rFonts w:ascii="Microsoft JhengHei" w:hAnsi="Microsoft JhengHei" w:eastAsia="Microsoft JhengHei" w:cs="Microsoft JhengHei"/>
          <w:spacing w:val="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报</w:t>
      </w:r>
      <w:r>
        <w:rPr>
          <w:rFonts w:ascii="Microsoft JhengHei" w:hAnsi="Microsoft JhengHei" w:eastAsia="Microsoft JhengHei" w:cs="Microsoft JhengHei"/>
          <w:spacing w:val="4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须</w:t>
      </w:r>
      <w:r>
        <w:rPr>
          <w:rFonts w:ascii="Microsoft JhengHei" w:hAnsi="Microsoft JhengHei" w:eastAsia="Microsoft JhengHei" w:cs="Microsoft JhengHei"/>
          <w:spacing w:val="4"/>
          <w:w w:val="10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知</w:t>
      </w:r>
    </w:p>
    <w:p>
      <w:pPr>
        <w:spacing w:before="89" w:line="298" w:lineRule="auto"/>
        <w:ind w:left="940" w:right="279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技能人才培育突出贡献候选单位将择优向人社部推荐参加“国家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技能人才培育突出贡献单位”的评选。</w:t>
      </w:r>
    </w:p>
    <w:p>
      <w:pPr>
        <w:spacing w:before="2" w:line="201" w:lineRule="auto"/>
        <w:ind w:firstLine="15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5"/>
          <w:sz w:val="28"/>
          <w:szCs w:val="28"/>
        </w:rPr>
        <w:t>一、</w:t>
      </w:r>
      <w:r>
        <w:rPr>
          <w:rFonts w:ascii="黑体" w:hAnsi="黑体" w:eastAsia="黑体" w:cs="黑体"/>
          <w:spacing w:val="32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5"/>
          <w:sz w:val="28"/>
          <w:szCs w:val="28"/>
        </w:rPr>
        <w:t>单位条件要求</w:t>
      </w:r>
    </w:p>
    <w:p>
      <w:pPr>
        <w:spacing w:before="149" w:line="280" w:lineRule="auto"/>
        <w:ind w:left="934" w:right="273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主要从基层企业、民营技工院校等职业院校、民营职业技能培训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机构等单位中择优推荐。候选单位必须建立完善的技能人才培养、使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用、评价、激励工作机制，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应积极贯彻落实国家有关技能人才工作决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策部署，</w:t>
      </w:r>
      <w:r>
        <w:rPr>
          <w:rFonts w:ascii="仿宋" w:hAnsi="仿宋" w:eastAsia="仿宋" w:cs="仿宋"/>
          <w:spacing w:val="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积极参与技能人才培养培训、使用评价、激励保障等试点工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作，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加大资金投入，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加强技能人才培养基础能力建设，</w:t>
      </w:r>
      <w:r>
        <w:rPr>
          <w:rFonts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技能人才培育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成效突出，取得较好的社会效益和经济效益。</w:t>
      </w:r>
    </w:p>
    <w:p>
      <w:pPr>
        <w:spacing w:before="174" w:line="184" w:lineRule="auto"/>
        <w:ind w:firstLine="15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二、</w:t>
      </w:r>
      <w:r>
        <w:rPr>
          <w:rFonts w:ascii="黑体" w:hAnsi="黑体" w:eastAsia="黑体" w:cs="黑体"/>
          <w:spacing w:val="30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材料要求</w:t>
      </w:r>
    </w:p>
    <w:p>
      <w:pPr>
        <w:spacing w:before="177" w:line="241" w:lineRule="auto"/>
        <w:ind w:left="947" w:right="305" w:firstLine="5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（1）材料包括电子版和纸质版，电子版和纸质版内容应保持一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致。</w:t>
      </w:r>
    </w:p>
    <w:p>
      <w:pPr>
        <w:spacing w:before="174" w:line="261" w:lineRule="auto"/>
        <w:ind w:left="941" w:right="278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（2）材料包含申报书和附件材料两部分。附件材料是申报书内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容真实性的重要证明材料，</w:t>
      </w:r>
      <w:r>
        <w:rPr>
          <w:rFonts w:ascii="仿宋" w:hAnsi="仿宋" w:eastAsia="仿宋" w:cs="仿宋"/>
          <w:spacing w:val="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应提供完整。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电子版和纸质版均要求提供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申报书和附件材料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75" w:line="184" w:lineRule="auto"/>
        <w:ind w:firstLine="1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（3）材料应按要求加盖企业、所属省级工商联和商会公章。</w:t>
      </w:r>
    </w:p>
    <w:p>
      <w:pPr>
        <w:spacing w:before="175" w:line="184" w:lineRule="auto"/>
        <w:ind w:firstLine="15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7"/>
          <w:sz w:val="28"/>
          <w:szCs w:val="28"/>
        </w:rPr>
        <w:t>三、</w:t>
      </w:r>
      <w:r>
        <w:rPr>
          <w:rFonts w:ascii="黑体" w:hAnsi="黑体" w:eastAsia="黑体" w:cs="黑体"/>
          <w:spacing w:val="39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7"/>
          <w:w w:val="97"/>
          <w:sz w:val="28"/>
          <w:szCs w:val="28"/>
        </w:rPr>
        <w:t>时间要求</w:t>
      </w:r>
    </w:p>
    <w:p>
      <w:pPr>
        <w:spacing w:before="176" w:line="299" w:lineRule="auto"/>
        <w:ind w:left="932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材料由企业先提交推荐单位（省级工商联或全国工商联直属商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>会</w:t>
      </w:r>
      <w:r>
        <w:rPr>
          <w:rFonts w:ascii="仿宋" w:hAnsi="仿宋" w:eastAsia="仿宋" w:cs="仿宋"/>
          <w:spacing w:val="-23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再由推荐单位统一盖章后邮寄至全国工商联经济服务部，纸质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版材料提交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1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套，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截止时间为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2022</w:t>
      </w:r>
      <w:r>
        <w:rPr>
          <w:rFonts w:ascii="黑体" w:hAnsi="黑体" w:eastAsia="黑体" w:cs="黑体"/>
          <w:spacing w:val="-5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年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5</w:t>
      </w:r>
      <w:r>
        <w:rPr>
          <w:rFonts w:ascii="黑体" w:hAnsi="黑体" w:eastAsia="黑体" w:cs="黑体"/>
          <w:spacing w:val="-4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月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25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7"/>
          <w:sz w:val="28"/>
          <w:szCs w:val="28"/>
        </w:rPr>
        <w:t>日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，逾期不予受理。（电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7"/>
          <w:sz w:val="28"/>
          <w:szCs w:val="28"/>
        </w:rPr>
        <w:t>子材料由推荐单位汇总后，于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20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日前发至邮箱acficswc@163.com）</w:t>
      </w:r>
    </w:p>
    <w:p>
      <w:pPr>
        <w:spacing w:before="1" w:line="201" w:lineRule="auto"/>
        <w:ind w:firstLine="15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四、</w:t>
      </w:r>
      <w:r>
        <w:rPr>
          <w:rFonts w:ascii="黑体" w:hAnsi="黑体" w:eastAsia="黑体" w:cs="黑体"/>
          <w:spacing w:val="24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其他事项</w:t>
      </w:r>
    </w:p>
    <w:p>
      <w:pPr>
        <w:spacing w:before="151" w:line="299" w:lineRule="auto"/>
        <w:ind w:left="939" w:right="139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（1）拟申报第十六届高技能人才评选的需注意：曾获中华技能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大奖、全国技术能手奖项和国家技能人才培训突出贡献单位、国家技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7"/>
          <w:sz w:val="28"/>
          <w:szCs w:val="28"/>
        </w:rPr>
        <w:t>能人才培育突出贡献个人荣誉的不能再申报同类奖项。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各省（区、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市）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人力资源社会保障部门已推荐的人选，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全国工商联不再重复推荐。同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一候选人不得同时申报中华技能大奖、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全国技术能手奖项和国家技能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人才培育突出贡献个人。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关于第十六届高技能人才评选表彰活动有关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情况可登陆人社部网站（www.mohrss.gov.cn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）和中国就业培训技术</w:t>
      </w:r>
    </w:p>
    <w:p>
      <w:pPr>
        <w:sectPr>
          <w:footerReference r:id="rId6" w:type="default"/>
          <w:pgSz w:w="11905" w:h="16840"/>
          <w:pgMar w:top="1431" w:right="1519" w:bottom="1102" w:left="872" w:header="0" w:footer="904" w:gutter="0"/>
          <w:cols w:space="720" w:num="1"/>
        </w:sectPr>
      </w:pPr>
    </w:p>
    <w:p>
      <w:pPr>
        <w:spacing w:before="56" w:line="298" w:lineRule="auto"/>
        <w:ind w:left="572" w:right="960" w:hanging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指导中心网站（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www.cettic.org.cn）了解。</w:t>
      </w:r>
      <w:r>
        <w:rPr>
          <w:rFonts w:ascii="仿宋" w:hAnsi="仿宋" w:eastAsia="仿宋" w:cs="仿宋"/>
          <w:sz w:val="28"/>
          <w:szCs w:val="28"/>
        </w:rPr>
        <w:t xml:space="preserve">                     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2）全国工商联确定向人社部推荐的单位后，将通知单位按要</w:t>
      </w:r>
    </w:p>
    <w:p>
      <w:pPr>
        <w:spacing w:before="2" w:line="201" w:lineRule="auto"/>
        <w:ind w:firstLine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求提交正式上报材料。</w:t>
      </w:r>
    </w:p>
    <w:p>
      <w:pPr>
        <w:spacing w:before="147" w:line="184" w:lineRule="auto"/>
        <w:ind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（3）工作中不收取企业任何费用。</w:t>
      </w:r>
    </w:p>
    <w:p>
      <w:pPr>
        <w:sectPr>
          <w:footerReference r:id="rId7" w:type="default"/>
          <w:pgSz w:w="11905" w:h="16840"/>
          <w:pgMar w:top="1426" w:right="864" w:bottom="1102" w:left="1785" w:header="0" w:footer="904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5"/>
        <w:tblW w:w="85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09"/>
        <w:gridCol w:w="1558"/>
        <w:gridCol w:w="3865"/>
        <w:gridCol w:w="1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388" w:type="dxa"/>
            <w:gridSpan w:val="2"/>
            <w:vAlign w:val="top"/>
          </w:tcPr>
          <w:p>
            <w:pPr>
              <w:spacing w:before="219" w:line="184" w:lineRule="auto"/>
              <w:ind w:firstLine="2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单位名称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88" w:type="dxa"/>
            <w:gridSpan w:val="2"/>
            <w:vAlign w:val="top"/>
          </w:tcPr>
          <w:p>
            <w:pPr>
              <w:spacing w:before="80" w:line="239" w:lineRule="auto"/>
              <w:ind w:left="280" w:right="272" w:hanging="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统一社会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信用代码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gridSpan w:val="2"/>
            <w:vAlign w:val="top"/>
          </w:tcPr>
          <w:p>
            <w:pPr>
              <w:spacing w:before="80" w:line="239" w:lineRule="auto"/>
              <w:ind w:left="494" w:right="30" w:hanging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经营（培训）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范围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gridSpan w:val="2"/>
            <w:vAlign w:val="top"/>
          </w:tcPr>
          <w:p>
            <w:pPr>
              <w:spacing w:before="81" w:line="238" w:lineRule="auto"/>
              <w:ind w:left="120" w:right="30" w:firstLine="1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注册资金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（固定资产）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gridSpan w:val="2"/>
            <w:vAlign w:val="top"/>
          </w:tcPr>
          <w:p>
            <w:pPr>
              <w:spacing w:before="215" w:line="184" w:lineRule="auto"/>
              <w:ind w:firstLine="2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单位类型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spacing w:before="215" w:line="184" w:lineRule="auto"/>
              <w:ind w:firstLine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□企业□院校□培训机构□科研院所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946" w:type="dxa"/>
            <w:gridSpan w:val="3"/>
            <w:vAlign w:val="top"/>
          </w:tcPr>
          <w:p>
            <w:pPr>
              <w:spacing w:before="309" w:line="184" w:lineRule="auto"/>
              <w:ind w:firstLine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世界技能大赛集训基地</w:t>
            </w:r>
          </w:p>
        </w:tc>
        <w:tc>
          <w:tcPr>
            <w:tcW w:w="5619" w:type="dxa"/>
            <w:gridSpan w:val="2"/>
            <w:vAlign w:val="top"/>
          </w:tcPr>
          <w:p>
            <w:pPr>
              <w:spacing w:before="36" w:line="184" w:lineRule="auto"/>
              <w:ind w:firstLine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□是，具体承担项目</w:t>
            </w:r>
          </w:p>
          <w:p>
            <w:pPr>
              <w:spacing w:before="198" w:line="184" w:lineRule="auto"/>
              <w:ind w:firstLine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46" w:type="dxa"/>
            <w:gridSpan w:val="3"/>
            <w:vAlign w:val="top"/>
          </w:tcPr>
          <w:p>
            <w:pPr>
              <w:spacing w:before="387" w:line="184" w:lineRule="auto"/>
              <w:ind w:firstLine="1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国家级高技能人才培训基地</w:t>
            </w:r>
          </w:p>
        </w:tc>
        <w:tc>
          <w:tcPr>
            <w:tcW w:w="5619" w:type="dxa"/>
            <w:gridSpan w:val="2"/>
            <w:vAlign w:val="top"/>
          </w:tcPr>
          <w:p>
            <w:pPr>
              <w:spacing w:before="113" w:line="184" w:lineRule="auto"/>
              <w:ind w:firstLine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□是，时间</w:t>
            </w:r>
          </w:p>
          <w:p>
            <w:pPr>
              <w:spacing w:before="198" w:line="184" w:lineRule="auto"/>
              <w:ind w:firstLine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  <w:jc w:val="center"/>
        </w:trPr>
        <w:tc>
          <w:tcPr>
            <w:tcW w:w="679" w:type="dxa"/>
            <w:vAlign w:val="top"/>
          </w:tcPr>
          <w:p>
            <w:pPr>
              <w:spacing w:before="386" w:line="239" w:lineRule="auto"/>
              <w:ind w:left="113" w:right="110" w:firstLine="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在技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能人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才培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养和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使用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方面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的具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体政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策和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措施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  <w:jc w:val="center"/>
        </w:trPr>
        <w:tc>
          <w:tcPr>
            <w:tcW w:w="679" w:type="dxa"/>
            <w:vAlign w:val="top"/>
          </w:tcPr>
          <w:p>
            <w:pPr>
              <w:spacing w:line="268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239" w:lineRule="auto"/>
              <w:ind w:left="113" w:right="110" w:firstLine="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曾获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得的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荣誉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和奖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项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565" w:type="dxa"/>
            <w:gridSpan w:val="5"/>
            <w:shd w:val="clear" w:color="auto" w:fill="D8D8D8"/>
            <w:vAlign w:val="top"/>
          </w:tcPr>
          <w:p>
            <w:pPr>
              <w:spacing w:before="127" w:line="184" w:lineRule="auto"/>
              <w:ind w:firstLine="113"/>
              <w:rPr>
                <w:rFonts w:ascii="黑体" w:hAnsi="黑体" w:eastAsia="黑体" w:cs="黑体"/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565" w:type="dxa"/>
            <w:gridSpan w:val="5"/>
            <w:shd w:val="clear" w:color="auto" w:fill="D8D8D8"/>
            <w:vAlign w:val="top"/>
          </w:tcPr>
          <w:p>
            <w:pPr>
              <w:spacing w:before="127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候选单位为企业、科研院所类型的，填报以下栏目。</w:t>
            </w:r>
            <w:r>
              <w:rPr>
                <w:rFonts w:ascii="黑体" w:hAnsi="黑体" w:eastAsia="黑体" w:cs="黑体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（数据统计范围为</w:t>
            </w: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2020—2021</w:t>
            </w:r>
            <w:r>
              <w:rPr>
                <w:rFonts w:ascii="黑体" w:hAnsi="黑体" w:eastAsia="黑体" w:cs="黑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239" w:lineRule="auto"/>
              <w:ind w:left="136" w:right="128" w:firstLine="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员工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培训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6132" w:type="dxa"/>
            <w:gridSpan w:val="3"/>
            <w:vAlign w:val="top"/>
          </w:tcPr>
          <w:p>
            <w:pPr>
              <w:spacing w:before="100" w:line="184" w:lineRule="auto"/>
              <w:ind w:firstLine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岗位（职业）数量（个）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gridSpan w:val="3"/>
            <w:vAlign w:val="top"/>
          </w:tcPr>
          <w:p>
            <w:pPr>
              <w:spacing w:before="102" w:line="184" w:lineRule="auto"/>
              <w:ind w:firstLine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岗位鉴定比例（%）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gridSpan w:val="3"/>
            <w:vAlign w:val="top"/>
          </w:tcPr>
          <w:p>
            <w:pPr>
              <w:spacing w:before="103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每年鉴定评价人数/占职工总人数比例（%）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gridSpan w:val="3"/>
            <w:vAlign w:val="top"/>
          </w:tcPr>
          <w:p>
            <w:pPr>
              <w:spacing w:before="101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6"/>
                <w:sz w:val="21"/>
                <w:szCs w:val="21"/>
              </w:rPr>
              <w:t>每年岗位培训数（人次）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8" w:type="default"/>
          <w:pgSz w:w="11905" w:h="16840"/>
          <w:pgMar w:top="1431" w:right="1667" w:bottom="1100" w:left="872" w:header="0" w:footer="904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-1"/>
        <w:tblOverlap w:val="never"/>
        <w:tblW w:w="85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132"/>
        <w:gridCol w:w="1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2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职工教育经费占工资总额的比例（%）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6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职工教育经费用于一线职工培训的比例（%）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8" w:line="184" w:lineRule="auto"/>
              <w:ind w:firstLine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培训经费投入占工资总额比例（%）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9" w:line="184" w:lineRule="auto"/>
              <w:ind w:firstLine="1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单位组织竞赛活动次数（次/年）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7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8"/>
                <w:sz w:val="21"/>
                <w:szCs w:val="21"/>
              </w:rPr>
              <w:t>参加竞赛人数/比例（%）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184" w:lineRule="auto"/>
              <w:ind w:firstLine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高技</w:t>
            </w:r>
          </w:p>
          <w:p>
            <w:pPr>
              <w:spacing w:before="63" w:line="184" w:lineRule="auto"/>
              <w:ind w:firstLine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能人</w:t>
            </w:r>
          </w:p>
          <w:p>
            <w:pPr>
              <w:spacing w:before="63" w:line="184" w:lineRule="auto"/>
              <w:ind w:firstLine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才情</w:t>
            </w:r>
          </w:p>
          <w:p>
            <w:pPr>
              <w:spacing w:before="63" w:line="184" w:lineRule="auto"/>
              <w:ind w:firstLine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况</w:t>
            </w:r>
          </w:p>
        </w:tc>
        <w:tc>
          <w:tcPr>
            <w:tcW w:w="6132" w:type="dxa"/>
            <w:vAlign w:val="top"/>
          </w:tcPr>
          <w:p>
            <w:pPr>
              <w:spacing w:before="99" w:line="184" w:lineRule="auto"/>
              <w:ind w:firstLine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6"/>
                <w:sz w:val="21"/>
                <w:szCs w:val="21"/>
              </w:rPr>
              <w:t>员工总数（人）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w w:val="92"/>
                <w:sz w:val="21"/>
                <w:szCs w:val="21"/>
              </w:rPr>
              <w:t>技能人员（取得职业资格等级或职业技能等级证书）占员工总数比例（%）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9" w:line="184" w:lineRule="auto"/>
              <w:ind w:firstLine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高级技师人数/占员工总数比例（%）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9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技师人数/占员工总数比例（%）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7"/>
                <w:sz w:val="21"/>
                <w:szCs w:val="21"/>
              </w:rPr>
              <w:t>高级工人数/占员工总数比例（%）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565" w:type="dxa"/>
            <w:gridSpan w:val="3"/>
            <w:shd w:val="clear" w:color="auto" w:fill="D8D8D8"/>
            <w:vAlign w:val="top"/>
          </w:tcPr>
          <w:p>
            <w:pPr>
              <w:spacing w:before="98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候选单位为院校、培训机构的，填报写以下栏目（数据统计范围为</w:t>
            </w:r>
            <w:r>
              <w:rPr>
                <w:rFonts w:ascii="黑体" w:hAnsi="黑体" w:eastAsia="黑体" w:cs="黑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2020—2021</w:t>
            </w:r>
            <w:r>
              <w:rPr>
                <w:rFonts w:ascii="黑体" w:hAnsi="黑体" w:eastAsia="黑体" w:cs="黑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79" w:type="dxa"/>
            <w:vAlign w:val="top"/>
          </w:tcPr>
          <w:p>
            <w:pPr>
              <w:spacing w:before="90" w:line="238" w:lineRule="auto"/>
              <w:ind w:left="141" w:right="128" w:hanging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办学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类型</w:t>
            </w:r>
          </w:p>
        </w:tc>
        <w:tc>
          <w:tcPr>
            <w:tcW w:w="7886" w:type="dxa"/>
            <w:gridSpan w:val="2"/>
            <w:vAlign w:val="top"/>
          </w:tcPr>
          <w:p>
            <w:pPr>
              <w:spacing w:before="224" w:line="184" w:lineRule="auto"/>
              <w:ind w:firstLine="1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0"/>
                <w:w w:val="95"/>
                <w:sz w:val="21"/>
                <w:szCs w:val="21"/>
              </w:rPr>
              <w:t>□政府办学□行业办学□企业办学□社会力量办学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239" w:lineRule="auto"/>
              <w:ind w:left="136" w:right="128" w:firstLine="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师资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6"/>
                <w:sz w:val="21"/>
                <w:szCs w:val="21"/>
              </w:rPr>
              <w:t>专业教师中双师型教师的比例（%）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5"/>
                <w:sz w:val="21"/>
                <w:szCs w:val="21"/>
              </w:rPr>
              <w:t>专职教师中拥有高级专业技术职称的比例（%）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9" w:line="184" w:lineRule="auto"/>
              <w:ind w:firstLine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每千名学生拥有高级专业技术职称教师数（人）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1" w:line="184" w:lineRule="auto"/>
              <w:ind w:firstLine="1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5"/>
                <w:sz w:val="21"/>
                <w:szCs w:val="21"/>
              </w:rPr>
              <w:t>一级实习指导教师及以上职称占实习教师总数的比例（%）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1" w:line="184" w:lineRule="auto"/>
              <w:ind w:firstLine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6"/>
                <w:sz w:val="21"/>
                <w:szCs w:val="21"/>
              </w:rPr>
              <w:t>行业专家担任兼职教师的比率（%）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Microsoft JhengHei"/>
                <w:sz w:val="21"/>
              </w:rPr>
            </w:pPr>
          </w:p>
          <w:p>
            <w:pPr>
              <w:spacing w:line="308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238" w:lineRule="auto"/>
              <w:ind w:left="136" w:right="128" w:firstLine="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在校生人数（人）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2" w:line="184" w:lineRule="auto"/>
              <w:ind w:firstLine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5"/>
                <w:sz w:val="21"/>
                <w:szCs w:val="21"/>
              </w:rPr>
              <w:t>学生获得相应的职业资格等级或职业技能等级证书的数量和比率（%）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2" w:line="184" w:lineRule="auto"/>
              <w:ind w:firstLine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6"/>
                <w:sz w:val="21"/>
                <w:szCs w:val="21"/>
              </w:rPr>
              <w:t>毕业生一次就业率（%）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0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在校生在各级各类专业技能大赛中获奖的人数（人）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91" w:line="184" w:lineRule="auto"/>
              <w:ind w:firstLine="1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社会进修学生人数（人）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2" w:line="184" w:lineRule="auto"/>
              <w:ind w:firstLine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5"/>
                <w:sz w:val="21"/>
                <w:szCs w:val="21"/>
              </w:rPr>
              <w:t>培养高级工、技师、高级技师等高技能人才占学生规模的比例（%）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Microsoft JhengHei"/>
                <w:sz w:val="21"/>
              </w:rPr>
            </w:pPr>
          </w:p>
          <w:p>
            <w:pPr>
              <w:spacing w:line="301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184" w:lineRule="auto"/>
              <w:ind w:firstLine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生均</w:t>
            </w:r>
          </w:p>
          <w:p>
            <w:pPr>
              <w:spacing w:before="61" w:line="184" w:lineRule="auto"/>
              <w:ind w:firstLine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事业</w:t>
            </w:r>
          </w:p>
          <w:p>
            <w:pPr>
              <w:spacing w:before="63" w:line="184" w:lineRule="auto"/>
              <w:ind w:firstLine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费支</w:t>
            </w:r>
          </w:p>
          <w:p>
            <w:pPr>
              <w:spacing w:before="64" w:line="184" w:lineRule="auto"/>
              <w:ind w:firstLine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出情</w:t>
            </w:r>
          </w:p>
          <w:p>
            <w:pPr>
              <w:spacing w:before="61" w:line="184" w:lineRule="auto"/>
              <w:ind w:firstLine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况</w:t>
            </w:r>
          </w:p>
        </w:tc>
        <w:tc>
          <w:tcPr>
            <w:tcW w:w="6132" w:type="dxa"/>
            <w:vAlign w:val="top"/>
          </w:tcPr>
          <w:p>
            <w:pPr>
              <w:spacing w:before="117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生均教学成本（元）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17" w:line="184" w:lineRule="auto"/>
              <w:ind w:firstLine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4"/>
                <w:sz w:val="21"/>
                <w:szCs w:val="21"/>
              </w:rPr>
              <w:t>培训时间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18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生均公用经费支出数（元）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18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0"/>
                <w:sz w:val="21"/>
                <w:szCs w:val="21"/>
              </w:rPr>
              <w:t>生均教学仪器设备资产值（元）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18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生均实习工位数（个）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63" w:line="224" w:lineRule="auto"/>
              <w:ind w:left="116" w:right="79" w:hanging="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1"/>
                <w:szCs w:val="21"/>
              </w:rPr>
              <w:t>获双证书（毕业证书和职业资格等级或职业技能等级证书）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1"/>
                <w:szCs w:val="21"/>
              </w:rPr>
              <w:t>学生总规模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1"/>
                <w:szCs w:val="21"/>
              </w:rPr>
              <w:t>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18" w:line="184" w:lineRule="auto"/>
              <w:ind w:firstLine="1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社会培训生总规模（人）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before="101" w:line="184" w:lineRule="auto"/>
              <w:ind w:firstLine="1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6"/>
                <w:sz w:val="21"/>
                <w:szCs w:val="21"/>
              </w:rPr>
              <w:t>企业代培学员的比例（%）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89" w:lineRule="auto"/>
        <w:rPr>
          <w:rFonts w:ascii="Arial"/>
          <w:sz w:val="2"/>
        </w:rPr>
      </w:pPr>
    </w:p>
    <w:p>
      <w:pPr>
        <w:rPr>
          <w:rFonts w:ascii="Microsoft JhengHei"/>
          <w:sz w:val="21"/>
        </w:rPr>
      </w:pPr>
    </w:p>
    <w:p>
      <w:pPr>
        <w:sectPr>
          <w:footerReference r:id="rId9" w:type="default"/>
          <w:pgSz w:w="11905" w:h="16840"/>
          <w:pgMar w:top="1431" w:right="864" w:bottom="1102" w:left="1666" w:header="0" w:footer="904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5"/>
        <w:tblW w:w="89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  <w:jc w:val="center"/>
        </w:trPr>
        <w:tc>
          <w:tcPr>
            <w:tcW w:w="866" w:type="dxa"/>
            <w:vAlign w:val="top"/>
          </w:tcPr>
          <w:p>
            <w:pPr>
              <w:spacing w:line="306" w:lineRule="auto"/>
              <w:rPr>
                <w:rFonts w:ascii="Microsoft JhengHei"/>
                <w:sz w:val="21"/>
              </w:rPr>
            </w:pPr>
          </w:p>
          <w:p>
            <w:pPr>
              <w:spacing w:line="307" w:lineRule="auto"/>
              <w:rPr>
                <w:rFonts w:ascii="Microsoft JhengHei"/>
                <w:sz w:val="21"/>
              </w:rPr>
            </w:pPr>
          </w:p>
          <w:p>
            <w:pPr>
              <w:spacing w:line="307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274" w:lineRule="auto"/>
              <w:ind w:left="233" w:right="114" w:hanging="1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本单位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line="282" w:lineRule="auto"/>
              <w:rPr>
                <w:rFonts w:ascii="Microsoft JhengHei"/>
                <w:sz w:val="21"/>
              </w:rPr>
            </w:pPr>
          </w:p>
          <w:p>
            <w:pPr>
              <w:spacing w:line="282" w:lineRule="auto"/>
              <w:rPr>
                <w:rFonts w:ascii="Microsoft JhengHei"/>
                <w:sz w:val="21"/>
              </w:rPr>
            </w:pPr>
          </w:p>
          <w:p>
            <w:pPr>
              <w:spacing w:line="28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39" w:lineRule="auto"/>
              <w:ind w:left="5618" w:right="1050" w:firstLine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签字盖章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3"/>
                <w:w w:val="9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3"/>
                <w:w w:val="96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3"/>
                <w:w w:val="96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Microsoft JhengHei"/>
          <w:sz w:val="21"/>
        </w:rPr>
      </w:pP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38" w:line="180" w:lineRule="auto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附件材料</w:t>
      </w:r>
    </w:p>
    <w:p>
      <w:pPr>
        <w:spacing w:before="419" w:line="359" w:lineRule="auto"/>
        <w:ind w:left="936" w:right="331" w:firstLine="49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1.单位事迹材料，</w:t>
      </w:r>
      <w:r>
        <w:rPr>
          <w:rFonts w:ascii="宋体" w:hAnsi="宋体" w:eastAsia="宋体" w:cs="宋体"/>
          <w:spacing w:val="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3000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字左右。材料重点反映本单位在高技能人才培育、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使用方面的举措，</w:t>
      </w:r>
      <w:r>
        <w:rPr>
          <w:rFonts w:ascii="宋体" w:hAnsi="宋体" w:eastAsia="宋体" w:cs="宋体"/>
          <w:spacing w:val="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取得的成绩，</w:t>
      </w:r>
      <w:r>
        <w:rPr>
          <w:rFonts w:ascii="宋体" w:hAnsi="宋体" w:eastAsia="宋体" w:cs="宋体"/>
          <w:spacing w:val="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及通过开展技能人才培养培训、技能评价、职业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技能竞赛等工作对本单位产生的重要影响和作用（要求用数字量化反映）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以及曾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获得的奖项或荣誉等。</w:t>
      </w:r>
    </w:p>
    <w:p>
      <w:pPr>
        <w:spacing w:line="466" w:lineRule="exact"/>
        <w:ind w:firstLine="1418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2.单位的法人登记证书复印件。</w:t>
      </w:r>
    </w:p>
    <w:p>
      <w:pPr>
        <w:spacing w:line="204" w:lineRule="auto"/>
        <w:ind w:firstLine="142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3.办学培训资质证明（办学许可证等）复印件。</w:t>
      </w:r>
    </w:p>
    <w:p>
      <w:pPr>
        <w:spacing w:line="204" w:lineRule="auto"/>
        <w:ind w:firstLine="1420"/>
        <w:jc w:val="both"/>
        <w:rPr>
          <w:rFonts w:ascii="宋体" w:hAnsi="宋体" w:eastAsia="宋体" w:cs="宋体"/>
          <w:spacing w:val="-3"/>
          <w:sz w:val="24"/>
          <w:szCs w:val="24"/>
        </w:rPr>
      </w:pPr>
    </w:p>
    <w:p>
      <w:pPr>
        <w:spacing w:line="204" w:lineRule="auto"/>
        <w:ind w:firstLine="1420"/>
        <w:jc w:val="both"/>
      </w:pPr>
      <w:r>
        <w:rPr>
          <w:rFonts w:ascii="宋体" w:hAnsi="宋体" w:eastAsia="宋体" w:cs="宋体"/>
          <w:spacing w:val="-3"/>
          <w:sz w:val="24"/>
          <w:szCs w:val="24"/>
        </w:rPr>
        <w:t>4.单位所获各种荣誉的复印件或旁证材料。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42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423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54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7E82"/>
    <w:rsid w:val="580221F7"/>
    <w:rsid w:val="630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2022-04-29T03:43:00Z</dcterms:created>
  <dc:creator>赵斯聪</dc:creator>
  <cp:lastModifiedBy>赵斯聪</cp:lastModifiedBy>
  <dcterms:modified xsi:type="dcterms:W3CDTF">2022-04-29T06:02:42Z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C6C7D5CE23724EFBB560A56A6B622B88</vt:lpwstr>
  </property>
</Properties>
</file>